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6B" w:rsidRDefault="000F5F6B" w:rsidP="000F5F6B">
      <w:pPr>
        <w:pStyle w:val="Heading1Standard"/>
        <w:tabs>
          <w:tab w:val="clear" w:pos="617"/>
          <w:tab w:val="left" w:pos="708"/>
        </w:tabs>
        <w:spacing w:line="240" w:lineRule="auto"/>
        <w:ind w:left="0" w:firstLine="567"/>
        <w:jc w:val="center"/>
        <w:rPr>
          <w:i/>
          <w:sz w:val="24"/>
          <w:szCs w:val="24"/>
        </w:rPr>
      </w:pPr>
      <w:r>
        <w:rPr>
          <w:i/>
          <w:sz w:val="24"/>
          <w:szCs w:val="24"/>
        </w:rPr>
        <w:t xml:space="preserve">Premio “Tesi di Laurea su Torino”: </w:t>
      </w:r>
    </w:p>
    <w:p w:rsidR="000F5F6B" w:rsidRDefault="000F5F6B" w:rsidP="000F5F6B">
      <w:pPr>
        <w:pStyle w:val="Heading1Standard"/>
        <w:tabs>
          <w:tab w:val="clear" w:pos="617"/>
          <w:tab w:val="left" w:pos="708"/>
        </w:tabs>
        <w:spacing w:line="240" w:lineRule="auto"/>
        <w:ind w:left="0" w:firstLine="567"/>
        <w:jc w:val="center"/>
        <w:rPr>
          <w:i/>
          <w:sz w:val="24"/>
          <w:szCs w:val="24"/>
        </w:rPr>
      </w:pPr>
      <w:r>
        <w:rPr>
          <w:i/>
          <w:sz w:val="24"/>
          <w:szCs w:val="24"/>
        </w:rPr>
        <w:t xml:space="preserve">commento </w:t>
      </w:r>
    </w:p>
    <w:p w:rsidR="000F5F6B" w:rsidRDefault="000F5F6B" w:rsidP="000F5F6B">
      <w:pPr>
        <w:pStyle w:val="Heading1Standard"/>
        <w:tabs>
          <w:tab w:val="clear" w:pos="617"/>
          <w:tab w:val="left" w:pos="708"/>
        </w:tabs>
        <w:spacing w:line="240" w:lineRule="auto"/>
        <w:ind w:left="0" w:firstLine="567"/>
        <w:jc w:val="center"/>
        <w:rPr>
          <w:i/>
          <w:sz w:val="24"/>
          <w:szCs w:val="24"/>
        </w:rPr>
      </w:pPr>
      <w:r>
        <w:rPr>
          <w:i/>
          <w:sz w:val="24"/>
          <w:szCs w:val="24"/>
        </w:rPr>
        <w:t>della prof. sa FRANCA D’AGOSTINI.</w:t>
      </w:r>
    </w:p>
    <w:p w:rsidR="000F5F6B" w:rsidRPr="000F5F6B" w:rsidRDefault="000F5F6B" w:rsidP="000F5F6B">
      <w:pPr>
        <w:pStyle w:val="Titolo1Carattere"/>
      </w:pPr>
    </w:p>
    <w:p w:rsidR="000F5F6B" w:rsidRDefault="000F5F6B" w:rsidP="000F5F6B">
      <w:pPr>
        <w:pStyle w:val="Heading1Standard"/>
        <w:tabs>
          <w:tab w:val="clear" w:pos="617"/>
          <w:tab w:val="left" w:pos="708"/>
        </w:tabs>
        <w:spacing w:line="240" w:lineRule="auto"/>
        <w:ind w:left="0" w:firstLine="567"/>
        <w:rPr>
          <w:b w:val="0"/>
          <w:sz w:val="16"/>
          <w:szCs w:val="16"/>
        </w:rPr>
      </w:pPr>
    </w:p>
    <w:p w:rsidR="000F5F6B" w:rsidRDefault="000F5F6B" w:rsidP="000F5F6B">
      <w:pPr>
        <w:spacing w:line="360" w:lineRule="auto"/>
        <w:ind w:right="292" w:firstLine="567"/>
        <w:jc w:val="both"/>
        <w:rPr>
          <w:rFonts w:asciiTheme="minorHAnsi" w:hAnsiTheme="minorHAnsi" w:cstheme="minorHAnsi"/>
          <w:sz w:val="24"/>
          <w:szCs w:val="24"/>
        </w:rPr>
      </w:pPr>
      <w:r w:rsidRPr="000F5F6B">
        <w:rPr>
          <w:rFonts w:asciiTheme="minorHAnsi" w:hAnsiTheme="minorHAnsi" w:cstheme="minorHAnsi"/>
          <w:sz w:val="24"/>
          <w:szCs w:val="24"/>
        </w:rPr>
        <w:t xml:space="preserve">“Credo che questa sia la circostanza più appropriata per citare un famoso verso di </w:t>
      </w:r>
      <w:proofErr w:type="spellStart"/>
      <w:r w:rsidRPr="000F5F6B">
        <w:rPr>
          <w:rFonts w:asciiTheme="minorHAnsi" w:hAnsiTheme="minorHAnsi" w:cstheme="minorHAnsi"/>
          <w:sz w:val="24"/>
          <w:szCs w:val="24"/>
        </w:rPr>
        <w:t>Hölderlin</w:t>
      </w:r>
      <w:proofErr w:type="spellEnd"/>
      <w:r w:rsidRPr="000F5F6B">
        <w:rPr>
          <w:rFonts w:asciiTheme="minorHAnsi" w:hAnsiTheme="minorHAnsi" w:cstheme="minorHAnsi"/>
          <w:sz w:val="24"/>
          <w:szCs w:val="24"/>
        </w:rPr>
        <w:t xml:space="preserve">, che costituisce tra l’altro il titolo di un altrettanto famoso saggio di </w:t>
      </w:r>
      <w:proofErr w:type="spellStart"/>
      <w:r w:rsidRPr="000F5F6B">
        <w:rPr>
          <w:rFonts w:asciiTheme="minorHAnsi" w:hAnsiTheme="minorHAnsi" w:cstheme="minorHAnsi"/>
          <w:sz w:val="24"/>
          <w:szCs w:val="24"/>
        </w:rPr>
        <w:t>Heidegger</w:t>
      </w:r>
      <w:proofErr w:type="spellEnd"/>
      <w:r w:rsidRPr="000F5F6B">
        <w:rPr>
          <w:rFonts w:asciiTheme="minorHAnsi" w:hAnsiTheme="minorHAnsi" w:cstheme="minorHAnsi"/>
          <w:sz w:val="24"/>
          <w:szCs w:val="24"/>
        </w:rPr>
        <w:t xml:space="preserve">, ossia “...poeticamente abita l’uomo”. In questo contesto, in riferimento a queste tesi, la frase ha un valore assolutamente </w:t>
      </w:r>
      <w:r w:rsidRPr="000F5F6B">
        <w:rPr>
          <w:rFonts w:asciiTheme="minorHAnsi" w:hAnsiTheme="minorHAnsi" w:cstheme="minorHAnsi"/>
          <w:i/>
          <w:sz w:val="24"/>
          <w:szCs w:val="24"/>
        </w:rPr>
        <w:t xml:space="preserve">denotativo </w:t>
      </w:r>
      <w:r w:rsidRPr="000F5F6B">
        <w:rPr>
          <w:rFonts w:asciiTheme="minorHAnsi" w:hAnsiTheme="minorHAnsi" w:cstheme="minorHAnsi"/>
          <w:sz w:val="24"/>
          <w:szCs w:val="24"/>
        </w:rPr>
        <w:t>e non enfatico, è assolutamente evidente, e non c’è bisogno di alcuna accentuazione retorica per notarlo, che questi ragazzi, gli autori di questi testi, vivono la città in una misura e secondo una modalità specificamente “poetica”, se poesia vuol dire ricettività e invenzione, abbandono alle immagini e insieme bisogno di creare, di escogitare immagini e strutture.</w:t>
      </w:r>
    </w:p>
    <w:p w:rsidR="000F5F6B" w:rsidRPr="000F5F6B" w:rsidRDefault="000F5F6B" w:rsidP="000F5F6B">
      <w:pPr>
        <w:spacing w:line="360" w:lineRule="auto"/>
        <w:ind w:right="292"/>
        <w:jc w:val="both"/>
        <w:rPr>
          <w:rFonts w:asciiTheme="minorHAnsi" w:hAnsiTheme="minorHAnsi" w:cstheme="minorHAnsi"/>
          <w:sz w:val="16"/>
          <w:szCs w:val="16"/>
        </w:rPr>
      </w:pPr>
    </w:p>
    <w:p w:rsidR="000F5F6B" w:rsidRDefault="000F5F6B" w:rsidP="000F5F6B">
      <w:pPr>
        <w:spacing w:line="360" w:lineRule="auto"/>
        <w:ind w:right="292" w:firstLine="567"/>
        <w:jc w:val="both"/>
        <w:rPr>
          <w:rFonts w:asciiTheme="minorHAnsi" w:hAnsiTheme="minorHAnsi" w:cstheme="minorHAnsi"/>
          <w:sz w:val="24"/>
          <w:szCs w:val="24"/>
        </w:rPr>
      </w:pPr>
      <w:r w:rsidRPr="000F5F6B">
        <w:rPr>
          <w:rFonts w:asciiTheme="minorHAnsi" w:hAnsiTheme="minorHAnsi" w:cstheme="minorHAnsi"/>
          <w:sz w:val="24"/>
          <w:szCs w:val="24"/>
        </w:rPr>
        <w:t xml:space="preserve">Vorrei un attimo riflettere su ciò che chiamerei il </w:t>
      </w:r>
      <w:r w:rsidRPr="000F5F6B">
        <w:rPr>
          <w:rFonts w:asciiTheme="minorHAnsi" w:hAnsiTheme="minorHAnsi" w:cstheme="minorHAnsi"/>
          <w:i/>
          <w:sz w:val="24"/>
          <w:szCs w:val="24"/>
        </w:rPr>
        <w:t xml:space="preserve">senso giovanile del luogo. </w:t>
      </w:r>
      <w:r w:rsidRPr="000F5F6B">
        <w:rPr>
          <w:rFonts w:asciiTheme="minorHAnsi" w:hAnsiTheme="minorHAnsi" w:cstheme="minorHAnsi"/>
          <w:sz w:val="24"/>
          <w:szCs w:val="24"/>
        </w:rPr>
        <w:t xml:space="preserve">Soprattutto i ragazzi </w:t>
      </w:r>
      <w:r w:rsidRPr="000F5F6B">
        <w:rPr>
          <w:rFonts w:asciiTheme="minorHAnsi" w:hAnsiTheme="minorHAnsi" w:cstheme="minorHAnsi"/>
          <w:i/>
          <w:sz w:val="24"/>
          <w:szCs w:val="24"/>
        </w:rPr>
        <w:t xml:space="preserve">vivono </w:t>
      </w:r>
      <w:r w:rsidRPr="000F5F6B">
        <w:rPr>
          <w:rFonts w:asciiTheme="minorHAnsi" w:hAnsiTheme="minorHAnsi" w:cstheme="minorHAnsi"/>
          <w:sz w:val="24"/>
          <w:szCs w:val="24"/>
        </w:rPr>
        <w:t xml:space="preserve">la città, soprattutto i ragazzi abitano poeticamente. E vivere la città significa essere consapevoli del </w:t>
      </w:r>
      <w:r w:rsidRPr="000F5F6B">
        <w:rPr>
          <w:rFonts w:asciiTheme="minorHAnsi" w:hAnsiTheme="minorHAnsi" w:cstheme="minorHAnsi"/>
          <w:i/>
          <w:sz w:val="24"/>
          <w:szCs w:val="24"/>
        </w:rPr>
        <w:t xml:space="preserve">luogo, dell’appartenenza: </w:t>
      </w:r>
      <w:r w:rsidRPr="000F5F6B">
        <w:rPr>
          <w:rFonts w:asciiTheme="minorHAnsi" w:hAnsiTheme="minorHAnsi" w:cstheme="minorHAnsi"/>
          <w:sz w:val="24"/>
          <w:szCs w:val="24"/>
        </w:rPr>
        <w:t xml:space="preserve">fare dell’appartenenza un motivo di valorizzazione. Nei suoi aspetti deleteri il senso giovanile del luogo si traduce nella cultura dei gruppi, degli </w:t>
      </w:r>
      <w:proofErr w:type="spellStart"/>
      <w:r w:rsidRPr="000F5F6B">
        <w:rPr>
          <w:rFonts w:asciiTheme="minorHAnsi" w:hAnsiTheme="minorHAnsi" w:cstheme="minorHAnsi"/>
          <w:sz w:val="24"/>
          <w:szCs w:val="24"/>
        </w:rPr>
        <w:t>entourages</w:t>
      </w:r>
      <w:proofErr w:type="spellEnd"/>
      <w:r w:rsidRPr="000F5F6B">
        <w:rPr>
          <w:rFonts w:asciiTheme="minorHAnsi" w:hAnsiTheme="minorHAnsi" w:cstheme="minorHAnsi"/>
          <w:sz w:val="24"/>
          <w:szCs w:val="24"/>
        </w:rPr>
        <w:t>, nei modi di vestire che diventano titoli di merito, nell’atteggiarsi “di quartiere”, come avviene nel caso dei cosiddetti “</w:t>
      </w:r>
      <w:proofErr w:type="spellStart"/>
      <w:r w:rsidRPr="000F5F6B">
        <w:rPr>
          <w:rFonts w:asciiTheme="minorHAnsi" w:hAnsiTheme="minorHAnsi" w:cstheme="minorHAnsi"/>
          <w:sz w:val="24"/>
          <w:szCs w:val="24"/>
        </w:rPr>
        <w:t>pariolini</w:t>
      </w:r>
      <w:proofErr w:type="spellEnd"/>
      <w:r w:rsidRPr="000F5F6B">
        <w:rPr>
          <w:rFonts w:asciiTheme="minorHAnsi" w:hAnsiTheme="minorHAnsi" w:cstheme="minorHAnsi"/>
          <w:sz w:val="24"/>
          <w:szCs w:val="24"/>
        </w:rPr>
        <w:t>” romani. Ma l’altro volto di questa sottolineatura dell’appartenenza è ciò che troviamo qui, in questi lavori, cioè l’aperta volontà di valorizzare la città, i quartieri, i luoghi, e anche i materiali con cui sono fatti i luoghi, di rispettarne la voce e la storia, di esaltarne la memoria e i personaggi.</w:t>
      </w:r>
    </w:p>
    <w:p w:rsidR="000F5F6B" w:rsidRPr="000F5F6B" w:rsidRDefault="000F5F6B" w:rsidP="000F5F6B">
      <w:pPr>
        <w:spacing w:line="360" w:lineRule="auto"/>
        <w:ind w:right="292"/>
        <w:jc w:val="both"/>
        <w:rPr>
          <w:rFonts w:asciiTheme="minorHAnsi" w:hAnsiTheme="minorHAnsi" w:cstheme="minorHAnsi"/>
          <w:sz w:val="16"/>
          <w:szCs w:val="16"/>
        </w:rPr>
      </w:pPr>
    </w:p>
    <w:p w:rsidR="000F5F6B" w:rsidRDefault="000F5F6B" w:rsidP="000F5F6B">
      <w:pPr>
        <w:spacing w:line="360" w:lineRule="auto"/>
        <w:ind w:right="292" w:firstLine="567"/>
        <w:jc w:val="both"/>
        <w:rPr>
          <w:rFonts w:asciiTheme="minorHAnsi" w:hAnsiTheme="minorHAnsi" w:cstheme="minorHAnsi"/>
          <w:sz w:val="24"/>
          <w:szCs w:val="24"/>
        </w:rPr>
      </w:pPr>
      <w:r w:rsidRPr="000F5F6B">
        <w:rPr>
          <w:rFonts w:asciiTheme="minorHAnsi" w:hAnsiTheme="minorHAnsi" w:cstheme="minorHAnsi"/>
          <w:sz w:val="24"/>
          <w:szCs w:val="24"/>
        </w:rPr>
        <w:t xml:space="preserve">Di fatto, la </w:t>
      </w:r>
      <w:proofErr w:type="spellStart"/>
      <w:r w:rsidRPr="000F5F6B">
        <w:rPr>
          <w:rFonts w:asciiTheme="minorHAnsi" w:hAnsiTheme="minorHAnsi" w:cstheme="minorHAnsi"/>
          <w:sz w:val="24"/>
          <w:szCs w:val="24"/>
        </w:rPr>
        <w:t>fabulizzazione</w:t>
      </w:r>
      <w:proofErr w:type="spellEnd"/>
      <w:r w:rsidRPr="000F5F6B">
        <w:rPr>
          <w:rFonts w:asciiTheme="minorHAnsi" w:hAnsiTheme="minorHAnsi" w:cstheme="minorHAnsi"/>
          <w:sz w:val="24"/>
          <w:szCs w:val="24"/>
        </w:rPr>
        <w:t xml:space="preserve">, la </w:t>
      </w:r>
      <w:proofErr w:type="spellStart"/>
      <w:r w:rsidRPr="000F5F6B">
        <w:rPr>
          <w:rFonts w:asciiTheme="minorHAnsi" w:hAnsiTheme="minorHAnsi" w:cstheme="minorHAnsi"/>
          <w:sz w:val="24"/>
          <w:szCs w:val="24"/>
        </w:rPr>
        <w:t>trasvalutazione</w:t>
      </w:r>
      <w:proofErr w:type="spellEnd"/>
      <w:r w:rsidRPr="000F5F6B">
        <w:rPr>
          <w:rFonts w:asciiTheme="minorHAnsi" w:hAnsiTheme="minorHAnsi" w:cstheme="minorHAnsi"/>
          <w:sz w:val="24"/>
          <w:szCs w:val="24"/>
        </w:rPr>
        <w:t xml:space="preserve"> dei luoghi e delle persone è anche propria degli adulti, il narrarsi e narrare, il valorizzarsi e valorizzare acquistano spesso però per gli adulti una connotazione ideologica. Le questioni di opportunità e di potere prendono il sopravvento, e l’</w:t>
      </w:r>
      <w:proofErr w:type="spellStart"/>
      <w:r w:rsidRPr="000F5F6B">
        <w:rPr>
          <w:rFonts w:asciiTheme="minorHAnsi" w:hAnsiTheme="minorHAnsi" w:cstheme="minorHAnsi"/>
          <w:sz w:val="24"/>
          <w:szCs w:val="24"/>
        </w:rPr>
        <w:t>estetizzazione</w:t>
      </w:r>
      <w:proofErr w:type="spellEnd"/>
      <w:r w:rsidRPr="000F5F6B">
        <w:rPr>
          <w:rFonts w:asciiTheme="minorHAnsi" w:hAnsiTheme="minorHAnsi" w:cstheme="minorHAnsi"/>
          <w:sz w:val="24"/>
          <w:szCs w:val="24"/>
        </w:rPr>
        <w:t xml:space="preserve"> della vita diventa </w:t>
      </w:r>
      <w:r w:rsidRPr="000F5F6B">
        <w:rPr>
          <w:rFonts w:asciiTheme="minorHAnsi" w:hAnsiTheme="minorHAnsi" w:cstheme="minorHAnsi"/>
          <w:i/>
          <w:sz w:val="24"/>
          <w:szCs w:val="24"/>
        </w:rPr>
        <w:t xml:space="preserve">politicizzazione strumentale dell’esistente. </w:t>
      </w:r>
      <w:r w:rsidRPr="000F5F6B">
        <w:rPr>
          <w:rFonts w:asciiTheme="minorHAnsi" w:hAnsiTheme="minorHAnsi" w:cstheme="minorHAnsi"/>
          <w:sz w:val="24"/>
          <w:szCs w:val="24"/>
        </w:rPr>
        <w:t xml:space="preserve">Si pensa a volte che una crescita di consapevolezza determini una crescita proporzionale di corruzione e di contaminazione, che conoscere sia compromettersi e contaminarsi. In questo senso la contaminazione adulta dell’abitare sarebbe dovuta a un allargamento dell’esperienza, all’aumento della coscienza dei rapporti e dei poteri. E’ profondamente fuorviante. I lavori di questi ragazzi infatti dimostrano che la volontà </w:t>
      </w:r>
      <w:proofErr w:type="spellStart"/>
      <w:r w:rsidRPr="000F5F6B">
        <w:rPr>
          <w:rFonts w:asciiTheme="minorHAnsi" w:hAnsiTheme="minorHAnsi" w:cstheme="minorHAnsi"/>
          <w:sz w:val="24"/>
          <w:szCs w:val="24"/>
        </w:rPr>
        <w:t>trasvalutante</w:t>
      </w:r>
      <w:proofErr w:type="spellEnd"/>
      <w:r w:rsidRPr="000F5F6B">
        <w:rPr>
          <w:rFonts w:asciiTheme="minorHAnsi" w:hAnsiTheme="minorHAnsi" w:cstheme="minorHAnsi"/>
          <w:sz w:val="24"/>
          <w:szCs w:val="24"/>
        </w:rPr>
        <w:t xml:space="preserve"> e innovativa, la sistematica percezione del valore </w:t>
      </w:r>
      <w:proofErr w:type="spellStart"/>
      <w:r w:rsidRPr="000F5F6B">
        <w:rPr>
          <w:rFonts w:asciiTheme="minorHAnsi" w:hAnsiTheme="minorHAnsi" w:cstheme="minorHAnsi"/>
          <w:sz w:val="24"/>
          <w:szCs w:val="24"/>
        </w:rPr>
        <w:t>poetico—simbolico</w:t>
      </w:r>
      <w:proofErr w:type="spellEnd"/>
      <w:r w:rsidRPr="000F5F6B">
        <w:rPr>
          <w:rFonts w:asciiTheme="minorHAnsi" w:hAnsiTheme="minorHAnsi" w:cstheme="minorHAnsi"/>
          <w:sz w:val="24"/>
          <w:szCs w:val="24"/>
        </w:rPr>
        <w:t xml:space="preserve"> dei luoghi, si accompagnano, possono accompagnarsi, a un’esatta coscienza della complessità </w:t>
      </w:r>
      <w:proofErr w:type="spellStart"/>
      <w:r w:rsidRPr="000F5F6B">
        <w:rPr>
          <w:rFonts w:asciiTheme="minorHAnsi" w:hAnsiTheme="minorHAnsi" w:cstheme="minorHAnsi"/>
          <w:sz w:val="24"/>
          <w:szCs w:val="24"/>
        </w:rPr>
        <w:t>politica-sociale-economica</w:t>
      </w:r>
      <w:proofErr w:type="spellEnd"/>
      <w:r w:rsidRPr="000F5F6B">
        <w:rPr>
          <w:rFonts w:asciiTheme="minorHAnsi" w:hAnsiTheme="minorHAnsi" w:cstheme="minorHAnsi"/>
          <w:sz w:val="24"/>
          <w:szCs w:val="24"/>
        </w:rPr>
        <w:t xml:space="preserve"> della realtà, </w:t>
      </w:r>
      <w:r w:rsidRPr="000F5F6B">
        <w:rPr>
          <w:rFonts w:asciiTheme="minorHAnsi" w:hAnsiTheme="minorHAnsi" w:cstheme="minorHAnsi"/>
          <w:sz w:val="24"/>
          <w:szCs w:val="24"/>
        </w:rPr>
        <w:lastRenderedPageBreak/>
        <w:t>a un’estrema ragionevolezza, e insieme a un’assoluta libertà dagli schemi prefissati. Per esempio, in un progetto di riqualificazione di un’area, ci si pone il problema di non affliggere gli abitanti con il rumore e il disagio di un imponente cantiere, ma si ipotizzano piccole variazioni, che favoriscano i rapporti tra le diverse attività del quartiere, e dunque contribuiscano al formarsi di una identità e una immagine riconoscibile del luogo.</w:t>
      </w:r>
    </w:p>
    <w:p w:rsidR="000F5F6B" w:rsidRPr="000F5F6B" w:rsidRDefault="000F5F6B" w:rsidP="000F5F6B">
      <w:pPr>
        <w:spacing w:line="360" w:lineRule="auto"/>
        <w:ind w:right="292"/>
        <w:jc w:val="both"/>
        <w:rPr>
          <w:rFonts w:asciiTheme="minorHAnsi" w:hAnsiTheme="minorHAnsi" w:cstheme="minorHAnsi"/>
          <w:sz w:val="16"/>
          <w:szCs w:val="16"/>
        </w:rPr>
      </w:pPr>
    </w:p>
    <w:p w:rsidR="000F5F6B" w:rsidRDefault="000F5F6B" w:rsidP="000F5F6B">
      <w:pPr>
        <w:spacing w:line="360" w:lineRule="auto"/>
        <w:ind w:right="292" w:firstLine="567"/>
        <w:jc w:val="both"/>
        <w:rPr>
          <w:rFonts w:asciiTheme="minorHAnsi" w:hAnsiTheme="minorHAnsi" w:cstheme="minorHAnsi"/>
          <w:sz w:val="24"/>
          <w:szCs w:val="24"/>
        </w:rPr>
      </w:pPr>
      <w:r w:rsidRPr="000F5F6B">
        <w:rPr>
          <w:rFonts w:asciiTheme="minorHAnsi" w:hAnsiTheme="minorHAnsi" w:cstheme="minorHAnsi"/>
          <w:sz w:val="24"/>
          <w:szCs w:val="24"/>
        </w:rPr>
        <w:t>Di fatto i temi più frequenti in queste tesi sono anche i due aspetti cruciali della vita di una città. Anzitutto, la situazione interna, le questioni legate alla scuola, alla sanità, e soprattutto, ora, e nel caso di Torino, quelle legate all’immigrazione; in secondo luogo, il problema per così dire “esterno”, cioè l’immagine turistica della città: un punto di vista che sta facendosi strada in questi anni e che mi sembra molto significativo. Torino ha smesso di essere città industriale, la Detroit italiana, per assumere il fascino che le compete di città storico—artistica ed europea, con un passato illustre e un futuro del tutto aperto.</w:t>
      </w:r>
    </w:p>
    <w:p w:rsidR="000F5F6B" w:rsidRPr="000F5F6B" w:rsidRDefault="000F5F6B" w:rsidP="000F5F6B">
      <w:pPr>
        <w:spacing w:line="360" w:lineRule="auto"/>
        <w:ind w:right="292"/>
        <w:jc w:val="both"/>
        <w:rPr>
          <w:rFonts w:asciiTheme="minorHAnsi" w:hAnsiTheme="minorHAnsi" w:cstheme="minorHAnsi"/>
          <w:sz w:val="16"/>
          <w:szCs w:val="16"/>
        </w:rPr>
      </w:pPr>
    </w:p>
    <w:p w:rsidR="000F5F6B" w:rsidRPr="000F5F6B" w:rsidRDefault="000F5F6B" w:rsidP="000F5F6B">
      <w:pPr>
        <w:spacing w:line="360" w:lineRule="auto"/>
        <w:ind w:right="292" w:firstLine="567"/>
        <w:jc w:val="both"/>
        <w:rPr>
          <w:rFonts w:asciiTheme="minorHAnsi" w:hAnsiTheme="minorHAnsi" w:cstheme="minorHAnsi"/>
          <w:sz w:val="24"/>
          <w:szCs w:val="24"/>
        </w:rPr>
      </w:pPr>
      <w:r w:rsidRPr="000F5F6B">
        <w:rPr>
          <w:rFonts w:asciiTheme="minorHAnsi" w:hAnsiTheme="minorHAnsi" w:cstheme="minorHAnsi"/>
          <w:sz w:val="24"/>
          <w:szCs w:val="24"/>
        </w:rPr>
        <w:t xml:space="preserve">A questo punto, e conclusivamente, vorrei citare ancora </w:t>
      </w:r>
      <w:proofErr w:type="spellStart"/>
      <w:r w:rsidRPr="000F5F6B">
        <w:rPr>
          <w:rFonts w:asciiTheme="minorHAnsi" w:hAnsiTheme="minorHAnsi" w:cstheme="minorHAnsi"/>
          <w:sz w:val="24"/>
          <w:szCs w:val="24"/>
        </w:rPr>
        <w:t>Hölderlin</w:t>
      </w:r>
      <w:proofErr w:type="spellEnd"/>
      <w:r w:rsidRPr="000F5F6B">
        <w:rPr>
          <w:rFonts w:asciiTheme="minorHAnsi" w:hAnsiTheme="minorHAnsi" w:cstheme="minorHAnsi"/>
          <w:sz w:val="24"/>
          <w:szCs w:val="24"/>
        </w:rPr>
        <w:t xml:space="preserve">, ma questa volta per smentirlo. Scrive </w:t>
      </w:r>
      <w:proofErr w:type="spellStart"/>
      <w:r w:rsidRPr="000F5F6B">
        <w:rPr>
          <w:rFonts w:asciiTheme="minorHAnsi" w:hAnsiTheme="minorHAnsi" w:cstheme="minorHAnsi"/>
          <w:sz w:val="24"/>
          <w:szCs w:val="24"/>
        </w:rPr>
        <w:t>Hölderlin</w:t>
      </w:r>
      <w:proofErr w:type="spellEnd"/>
      <w:r w:rsidRPr="000F5F6B">
        <w:rPr>
          <w:rFonts w:asciiTheme="minorHAnsi" w:hAnsiTheme="minorHAnsi" w:cstheme="minorHAnsi"/>
          <w:sz w:val="24"/>
          <w:szCs w:val="24"/>
        </w:rPr>
        <w:t>: “Se hai cuore e intelligenza, mostra una cosa soltanto. Se le mostri insieme, entrambe ti dannano</w:t>
      </w:r>
      <w:r w:rsidRPr="000F5F6B">
        <w:rPr>
          <w:rFonts w:asciiTheme="minorHAnsi" w:hAnsiTheme="minorHAnsi" w:cstheme="minorHAnsi"/>
          <w:sz w:val="24"/>
          <w:szCs w:val="24"/>
          <w:vertAlign w:val="superscript"/>
        </w:rPr>
        <w:t>”</w:t>
      </w:r>
      <w:r w:rsidRPr="000F5F6B">
        <w:rPr>
          <w:rFonts w:asciiTheme="minorHAnsi" w:hAnsiTheme="minorHAnsi" w:cstheme="minorHAnsi"/>
          <w:sz w:val="24"/>
          <w:szCs w:val="24"/>
        </w:rPr>
        <w:t>. Non è vero, o meglio: forse si avvicina un’epoca in cui questo non sarà più vero, in cui intelligenza e cuore potranno tranquillamente venir mostrati in simultanea senza danno per i loro possessori. L’obiettivo di tutti dovrebbe essere credo quello di favorire l’espressione congiunta dell’uno e dell’altra, come avviene in queste tesi.</w:t>
      </w:r>
    </w:p>
    <w:p w:rsidR="000F5F6B" w:rsidRPr="000F5F6B" w:rsidRDefault="000F5F6B" w:rsidP="000F5F6B">
      <w:pPr>
        <w:spacing w:line="360" w:lineRule="auto"/>
        <w:ind w:right="292"/>
        <w:jc w:val="both"/>
        <w:rPr>
          <w:rFonts w:asciiTheme="minorHAnsi" w:hAnsiTheme="minorHAnsi" w:cstheme="minorHAnsi"/>
          <w:sz w:val="16"/>
          <w:szCs w:val="16"/>
        </w:rPr>
      </w:pPr>
    </w:p>
    <w:p w:rsidR="000F5F6B" w:rsidRPr="000F5F6B" w:rsidRDefault="000F5F6B" w:rsidP="000F5F6B">
      <w:pPr>
        <w:spacing w:line="360" w:lineRule="auto"/>
        <w:ind w:right="292" w:firstLine="567"/>
        <w:jc w:val="both"/>
        <w:rPr>
          <w:rFonts w:asciiTheme="minorHAnsi" w:hAnsiTheme="minorHAnsi" w:cstheme="minorHAnsi"/>
          <w:sz w:val="24"/>
          <w:szCs w:val="24"/>
        </w:rPr>
      </w:pPr>
      <w:r w:rsidRPr="000F5F6B">
        <w:rPr>
          <w:rFonts w:asciiTheme="minorHAnsi" w:hAnsiTheme="minorHAnsi" w:cstheme="minorHAnsi"/>
          <w:sz w:val="24"/>
          <w:szCs w:val="24"/>
        </w:rPr>
        <w:t xml:space="preserve">Non vorrei che mi si fraintendesse. Non sto affatto costruendo un’apologetica gratuita: questo è un caso in cui la retorica progressista non è altro che il risultato di un esatto riscontro. A quanto sembra le generazioni migliorano, ed è facile accorgersene purché si lascino parlare le persone nelle età in cui la </w:t>
      </w:r>
      <w:r w:rsidRPr="000F5F6B">
        <w:rPr>
          <w:rFonts w:asciiTheme="minorHAnsi" w:hAnsiTheme="minorHAnsi" w:cstheme="minorHAnsi"/>
          <w:i/>
          <w:sz w:val="24"/>
          <w:szCs w:val="24"/>
        </w:rPr>
        <w:t xml:space="preserve">generosità </w:t>
      </w:r>
      <w:r w:rsidRPr="000F5F6B">
        <w:rPr>
          <w:rFonts w:asciiTheme="minorHAnsi" w:hAnsiTheme="minorHAnsi" w:cstheme="minorHAnsi"/>
          <w:sz w:val="24"/>
          <w:szCs w:val="24"/>
        </w:rPr>
        <w:t>intellettuale e morale è più alta. Bisogna allora ringraziare, credo, sia i professori che hanno orientato questi lavori, sia il dottor Vecchione e gli enti che finanziano e supportano il premio, perché ci hanno permesso e ci permettono di vedere questa straordinaria opportunità.</w:t>
      </w:r>
    </w:p>
    <w:p w:rsidR="000F5F6B" w:rsidRPr="000F5F6B" w:rsidRDefault="000F5F6B" w:rsidP="000F5F6B">
      <w:pPr>
        <w:spacing w:line="360" w:lineRule="auto"/>
        <w:ind w:right="292"/>
        <w:jc w:val="both"/>
        <w:rPr>
          <w:rFonts w:asciiTheme="minorHAnsi" w:hAnsiTheme="minorHAnsi" w:cstheme="minorHAnsi"/>
          <w:sz w:val="16"/>
          <w:szCs w:val="16"/>
        </w:rPr>
      </w:pPr>
    </w:p>
    <w:p w:rsidR="000F5F6B" w:rsidRPr="000F5F6B" w:rsidRDefault="000F5F6B" w:rsidP="000F5F6B">
      <w:pPr>
        <w:spacing w:line="360" w:lineRule="auto"/>
        <w:ind w:right="292" w:firstLine="284"/>
        <w:jc w:val="right"/>
        <w:rPr>
          <w:rFonts w:asciiTheme="minorHAnsi" w:hAnsiTheme="minorHAnsi" w:cstheme="minorHAnsi"/>
          <w:b/>
          <w:sz w:val="28"/>
          <w:szCs w:val="28"/>
        </w:rPr>
      </w:pPr>
      <w:r w:rsidRPr="000F5F6B">
        <w:rPr>
          <w:rFonts w:asciiTheme="minorHAnsi" w:hAnsiTheme="minorHAnsi" w:cstheme="minorHAnsi"/>
          <w:b/>
          <w:sz w:val="28"/>
          <w:szCs w:val="28"/>
        </w:rPr>
        <w:t>Franca D’Agostini</w:t>
      </w:r>
    </w:p>
    <w:p w:rsidR="00DB5039" w:rsidRPr="000F5F6B" w:rsidRDefault="00DB5039">
      <w:pPr>
        <w:rPr>
          <w:rFonts w:asciiTheme="minorHAnsi" w:hAnsiTheme="minorHAnsi" w:cstheme="minorHAnsi"/>
          <w:sz w:val="28"/>
          <w:szCs w:val="28"/>
        </w:rPr>
      </w:pPr>
    </w:p>
    <w:sectPr w:rsidR="00DB5039" w:rsidRPr="000F5F6B" w:rsidSect="00DB503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F5F6B"/>
    <w:rsid w:val="000F5F6B"/>
    <w:rsid w:val="00DB50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5F6B"/>
    <w:pPr>
      <w:spacing w:after="0" w:line="240" w:lineRule="auto"/>
    </w:pPr>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0F5F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Standard">
    <w:name w:val="Heading1_Standard"/>
    <w:basedOn w:val="Titolo1"/>
    <w:next w:val="Titolo1Carattere"/>
    <w:rsid w:val="000F5F6B"/>
    <w:pPr>
      <w:keepLines w:val="0"/>
      <w:tabs>
        <w:tab w:val="left" w:pos="617"/>
      </w:tabs>
      <w:spacing w:before="0" w:line="215" w:lineRule="exact"/>
      <w:ind w:left="567"/>
      <w:jc w:val="both"/>
    </w:pPr>
    <w:rPr>
      <w:rFonts w:ascii="Arial" w:eastAsia="Times New Roman" w:hAnsi="Arial" w:cs="Times New Roman"/>
      <w:color w:val="auto"/>
      <w:szCs w:val="20"/>
    </w:rPr>
  </w:style>
  <w:style w:type="character" w:customStyle="1" w:styleId="Titolo1Carattere">
    <w:name w:val="Titolo 1 Carattere"/>
    <w:basedOn w:val="Carpredefinitoparagrafo"/>
    <w:link w:val="Titolo1"/>
    <w:uiPriority w:val="9"/>
    <w:rsid w:val="000F5F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665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FELIX</cp:lastModifiedBy>
  <cp:revision>1</cp:revision>
  <dcterms:created xsi:type="dcterms:W3CDTF">2022-02-09T18:00:00Z</dcterms:created>
  <dcterms:modified xsi:type="dcterms:W3CDTF">2022-02-09T18:04:00Z</dcterms:modified>
</cp:coreProperties>
</file>